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848C00" w14:textId="11C12B6E" w:rsidR="00275E92" w:rsidRDefault="00F25600" w:rsidP="00275E92">
      <w:pPr>
        <w:jc w:val="center"/>
        <w:rPr>
          <w:b/>
          <w:bCs/>
          <w:sz w:val="28"/>
          <w:szCs w:val="24"/>
        </w:rPr>
      </w:pPr>
      <w:r w:rsidRPr="00275E92">
        <w:rPr>
          <w:b/>
          <w:bCs/>
          <w:sz w:val="28"/>
          <w:szCs w:val="24"/>
        </w:rPr>
        <w:t xml:space="preserve">TĂNG CƯỜNG TUYÊN TRUYỀN PHÒNG BỆNH </w:t>
      </w:r>
      <w:r w:rsidR="00C5023A">
        <w:rPr>
          <w:b/>
          <w:bCs/>
          <w:sz w:val="28"/>
          <w:szCs w:val="24"/>
        </w:rPr>
        <w:t>-</w:t>
      </w:r>
    </w:p>
    <w:p w14:paraId="61994843" w14:textId="32BB4CF8" w:rsidR="00F25600" w:rsidRPr="00275E92" w:rsidRDefault="00F25600" w:rsidP="00275E92">
      <w:pPr>
        <w:jc w:val="center"/>
        <w:rPr>
          <w:sz w:val="28"/>
          <w:szCs w:val="24"/>
        </w:rPr>
      </w:pPr>
      <w:r w:rsidRPr="00275E92">
        <w:rPr>
          <w:b/>
          <w:bCs/>
          <w:sz w:val="28"/>
          <w:szCs w:val="24"/>
        </w:rPr>
        <w:t>CHỦ ĐỘNG BẢO VỆ SỨC KHỎE HỌC SINH</w:t>
      </w:r>
    </w:p>
    <w:p w14:paraId="50761C5D" w14:textId="77777777" w:rsidR="00F25600" w:rsidRDefault="00F25600" w:rsidP="00275E92">
      <w:pPr>
        <w:ind w:firstLine="720"/>
        <w:jc w:val="both"/>
        <w:rPr>
          <w:sz w:val="28"/>
          <w:szCs w:val="24"/>
        </w:rPr>
      </w:pPr>
      <w:r w:rsidRPr="00F25600">
        <w:rPr>
          <w:sz w:val="28"/>
          <w:szCs w:val="24"/>
        </w:rPr>
        <w:t>Sáng thứ Hai, ngày 13/4/2026, Trường THCS Nghĩa Châu đã phối hợp với Trung tâm Tiêm chủng vắc xin thuộc Công ty Vắc xin Việt Nam (VNVC) tổ chức buổi tuyên truyền, phổ biến kiến thức về lợi ích của việc tiêm vắc xin phòng ngừa HPV cho học sinh trong toàn trường.</w:t>
      </w:r>
    </w:p>
    <w:p w14:paraId="27562F69" w14:textId="1FADAC0A" w:rsidR="00794613" w:rsidRPr="00F25600" w:rsidRDefault="00794613" w:rsidP="00794613">
      <w:pPr>
        <w:jc w:val="both"/>
        <w:rPr>
          <w:sz w:val="28"/>
          <w:szCs w:val="24"/>
        </w:rPr>
      </w:pPr>
      <w:r w:rsidRPr="00794613">
        <w:rPr>
          <w:noProof/>
          <w:sz w:val="28"/>
          <w:szCs w:val="24"/>
        </w:rPr>
        <w:drawing>
          <wp:inline distT="0" distB="0" distL="0" distR="0" wp14:anchorId="0AA8ED38" wp14:editId="14D26DF6">
            <wp:extent cx="5940000" cy="4057200"/>
            <wp:effectExtent l="0" t="0" r="3810" b="635"/>
            <wp:docPr id="95038050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000" cy="4057200"/>
                    </a:xfrm>
                    <a:prstGeom prst="rect">
                      <a:avLst/>
                    </a:prstGeom>
                    <a:noFill/>
                    <a:ln>
                      <a:noFill/>
                    </a:ln>
                  </pic:spPr>
                </pic:pic>
              </a:graphicData>
            </a:graphic>
          </wp:inline>
        </w:drawing>
      </w:r>
    </w:p>
    <w:p w14:paraId="5E2AF672" w14:textId="77777777" w:rsidR="00F25600" w:rsidRPr="00F25600" w:rsidRDefault="00F25600" w:rsidP="00B46EF1">
      <w:pPr>
        <w:ind w:firstLine="720"/>
        <w:jc w:val="both"/>
        <w:rPr>
          <w:sz w:val="28"/>
          <w:szCs w:val="24"/>
        </w:rPr>
      </w:pPr>
      <w:r w:rsidRPr="00F25600">
        <w:rPr>
          <w:sz w:val="28"/>
          <w:szCs w:val="24"/>
        </w:rPr>
        <w:t>Tại buổi tuyên truyền, các chuyên gia y tế đã cung cấp những thông tin khoa học, chính xác và dễ hiểu về virus HPV (Human Papillomavirus) – một trong những nguyên nhân hàng đầu gây ra nhiều bệnh lý nguy hiểm, đặc biệt là ung thư cổ tử cung và một số bệnh ung thư khác. Thông qua đó, học sinh được nâng cao nhận thức về tầm quan trọng của việc chủ động phòng bệnh từ sớm, nhất là trong độ tuổi thanh thiếu niên.</w:t>
      </w:r>
    </w:p>
    <w:p w14:paraId="313D6B60" w14:textId="77777777" w:rsidR="00F25600" w:rsidRPr="00F25600" w:rsidRDefault="00F25600" w:rsidP="00B46EF1">
      <w:pPr>
        <w:ind w:firstLine="720"/>
        <w:jc w:val="both"/>
        <w:rPr>
          <w:sz w:val="28"/>
          <w:szCs w:val="24"/>
        </w:rPr>
      </w:pPr>
      <w:r w:rsidRPr="00F25600">
        <w:rPr>
          <w:sz w:val="28"/>
          <w:szCs w:val="24"/>
        </w:rPr>
        <w:t>Các nội dung tuyên truyền tập trung làm rõ:</w:t>
      </w:r>
    </w:p>
    <w:p w14:paraId="1C4D144C" w14:textId="77777777" w:rsidR="00F25600" w:rsidRPr="00F25600" w:rsidRDefault="00F25600" w:rsidP="00F25600">
      <w:pPr>
        <w:numPr>
          <w:ilvl w:val="0"/>
          <w:numId w:val="1"/>
        </w:numPr>
        <w:jc w:val="both"/>
        <w:rPr>
          <w:sz w:val="28"/>
          <w:szCs w:val="24"/>
        </w:rPr>
      </w:pPr>
      <w:r w:rsidRPr="00F25600">
        <w:rPr>
          <w:sz w:val="28"/>
          <w:szCs w:val="24"/>
        </w:rPr>
        <w:t xml:space="preserve">Lợi ích thiết thực của việc tiêm vắc xin HPV trong việc phòng ngừa bệnh tật lâu dài. </w:t>
      </w:r>
    </w:p>
    <w:p w14:paraId="541079F4" w14:textId="77777777" w:rsidR="00F25600" w:rsidRPr="00F25600" w:rsidRDefault="00F25600" w:rsidP="00F25600">
      <w:pPr>
        <w:numPr>
          <w:ilvl w:val="0"/>
          <w:numId w:val="1"/>
        </w:numPr>
        <w:jc w:val="both"/>
        <w:rPr>
          <w:sz w:val="28"/>
          <w:szCs w:val="24"/>
        </w:rPr>
      </w:pPr>
      <w:r w:rsidRPr="00F25600">
        <w:rPr>
          <w:sz w:val="28"/>
          <w:szCs w:val="24"/>
        </w:rPr>
        <w:t xml:space="preserve">Độ an toàn, hiệu quả của vắc xin đã được kiểm chứng. </w:t>
      </w:r>
    </w:p>
    <w:p w14:paraId="17237762" w14:textId="77777777" w:rsidR="00F25600" w:rsidRPr="00F25600" w:rsidRDefault="00F25600" w:rsidP="00F25600">
      <w:pPr>
        <w:numPr>
          <w:ilvl w:val="0"/>
          <w:numId w:val="1"/>
        </w:numPr>
        <w:jc w:val="both"/>
        <w:rPr>
          <w:sz w:val="28"/>
          <w:szCs w:val="24"/>
        </w:rPr>
      </w:pPr>
      <w:r w:rsidRPr="00F25600">
        <w:rPr>
          <w:sz w:val="28"/>
          <w:szCs w:val="24"/>
        </w:rPr>
        <w:t xml:space="preserve">Độ tuổi phù hợp để tiêm chủng nhằm đạt hiệu quả bảo vệ tối ưu. </w:t>
      </w:r>
    </w:p>
    <w:p w14:paraId="46A7BA1A" w14:textId="77777777" w:rsidR="00F25600" w:rsidRDefault="00F25600" w:rsidP="00B46EF1">
      <w:pPr>
        <w:ind w:firstLine="720"/>
        <w:jc w:val="both"/>
        <w:rPr>
          <w:sz w:val="28"/>
          <w:szCs w:val="24"/>
        </w:rPr>
      </w:pPr>
      <w:r w:rsidRPr="00F25600">
        <w:rPr>
          <w:sz w:val="28"/>
          <w:szCs w:val="24"/>
        </w:rPr>
        <w:t xml:space="preserve">Bên cạnh việc cung cấp kiến thức, buổi tuyên truyền còn tạo điều kiện để học sinh giao lưu, đặt câu hỏi và được giải đáp trực tiếp những thắc mắc liên quan đến </w:t>
      </w:r>
      <w:r w:rsidRPr="00F25600">
        <w:rPr>
          <w:sz w:val="28"/>
          <w:szCs w:val="24"/>
        </w:rPr>
        <w:lastRenderedPageBreak/>
        <w:t>sức khỏe sinh sản và tiêm chủng. Điều này giúp các em có thêm sự tự tin, chủ động trong việc chăm sóc và bảo vệ sức khỏe bản thân.</w:t>
      </w:r>
    </w:p>
    <w:p w14:paraId="768B122F" w14:textId="0BF6EED9" w:rsidR="00794613" w:rsidRPr="00F25600" w:rsidRDefault="00794613" w:rsidP="00794613">
      <w:pPr>
        <w:jc w:val="both"/>
        <w:rPr>
          <w:sz w:val="28"/>
          <w:szCs w:val="24"/>
        </w:rPr>
      </w:pPr>
      <w:r w:rsidRPr="00794613">
        <w:rPr>
          <w:noProof/>
          <w:sz w:val="28"/>
          <w:szCs w:val="24"/>
        </w:rPr>
        <w:drawing>
          <wp:inline distT="0" distB="0" distL="0" distR="0" wp14:anchorId="49CFED99" wp14:editId="67D13B60">
            <wp:extent cx="5940000" cy="4057200"/>
            <wp:effectExtent l="0" t="0" r="3810" b="635"/>
            <wp:docPr id="15352555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000" cy="4057200"/>
                    </a:xfrm>
                    <a:prstGeom prst="rect">
                      <a:avLst/>
                    </a:prstGeom>
                    <a:noFill/>
                    <a:ln>
                      <a:noFill/>
                    </a:ln>
                  </pic:spPr>
                </pic:pic>
              </a:graphicData>
            </a:graphic>
          </wp:inline>
        </w:drawing>
      </w:r>
    </w:p>
    <w:p w14:paraId="2B9B4692" w14:textId="7DDCC890" w:rsidR="00F25600" w:rsidRPr="00F25600" w:rsidRDefault="00F25600" w:rsidP="00B46EF1">
      <w:pPr>
        <w:ind w:firstLine="720"/>
        <w:jc w:val="both"/>
        <w:rPr>
          <w:sz w:val="28"/>
          <w:szCs w:val="24"/>
        </w:rPr>
      </w:pPr>
      <w:r w:rsidRPr="00F25600">
        <w:rPr>
          <w:sz w:val="28"/>
          <w:szCs w:val="24"/>
        </w:rPr>
        <w:t xml:space="preserve">Thông qua hoạt động ý nghĩa này, nhà trường mong muốn lan tỏa thông điệp: </w:t>
      </w:r>
      <w:r w:rsidRPr="00B46EF1">
        <w:rPr>
          <w:b/>
          <w:bCs/>
          <w:i/>
          <w:iCs/>
          <w:sz w:val="28"/>
          <w:szCs w:val="24"/>
        </w:rPr>
        <w:t xml:space="preserve">“Phòng bệnh hơn chữa bệnh – Tiêm vắc xin là biện pháp hiệu quả, </w:t>
      </w:r>
      <w:proofErr w:type="gramStart"/>
      <w:r w:rsidRPr="00B46EF1">
        <w:rPr>
          <w:b/>
          <w:bCs/>
          <w:i/>
          <w:iCs/>
          <w:sz w:val="28"/>
          <w:szCs w:val="24"/>
        </w:rPr>
        <w:t>an</w:t>
      </w:r>
      <w:proofErr w:type="gramEnd"/>
      <w:r w:rsidRPr="00B46EF1">
        <w:rPr>
          <w:b/>
          <w:bCs/>
          <w:i/>
          <w:iCs/>
          <w:sz w:val="28"/>
          <w:szCs w:val="24"/>
        </w:rPr>
        <w:t xml:space="preserve"> toàn để bảo vệ tương lai”</w:t>
      </w:r>
      <w:r w:rsidRPr="00B46EF1">
        <w:rPr>
          <w:i/>
          <w:iCs/>
          <w:sz w:val="28"/>
          <w:szCs w:val="24"/>
        </w:rPr>
        <w:t>.</w:t>
      </w:r>
      <w:r w:rsidRPr="00F25600">
        <w:rPr>
          <w:sz w:val="28"/>
          <w:szCs w:val="24"/>
        </w:rPr>
        <w:t xml:space="preserve"> Đồng thời, khuyến khích phụ huynh học sinh quan tâm, tìm hiểu và cho con em tham gia tiêm chủng đầy đủ, đúng lịch.</w:t>
      </w:r>
    </w:p>
    <w:p w14:paraId="7EEF21AE" w14:textId="77777777" w:rsidR="00F25600" w:rsidRDefault="00F25600" w:rsidP="00B46EF1">
      <w:pPr>
        <w:ind w:firstLine="720"/>
        <w:jc w:val="both"/>
        <w:rPr>
          <w:sz w:val="28"/>
          <w:szCs w:val="24"/>
        </w:rPr>
      </w:pPr>
      <w:r w:rsidRPr="00F25600">
        <w:rPr>
          <w:sz w:val="28"/>
          <w:szCs w:val="24"/>
        </w:rPr>
        <w:t>Buổi tuyên truyền không chỉ góp phần nâng cao nhận thức về chăm sóc sức khỏe học đường mà còn thể hiện sự quan tâm sâu sắc của nhà trường đối với sự phát triển toàn diện của học sinh – cả về trí tuệ, thể chất và kỹ năng sống.</w:t>
      </w:r>
    </w:p>
    <w:p w14:paraId="51888A64" w14:textId="7FE89D90" w:rsidR="002C6D3E" w:rsidRPr="002C6D3E" w:rsidRDefault="002C6D3E" w:rsidP="002C6D3E">
      <w:pPr>
        <w:ind w:firstLine="360"/>
        <w:jc w:val="center"/>
        <w:rPr>
          <w:b/>
          <w:bCs/>
          <w:i/>
          <w:iCs/>
          <w:sz w:val="28"/>
          <w:szCs w:val="24"/>
        </w:rPr>
      </w:pPr>
      <w:r w:rsidRPr="002C6D3E">
        <w:rPr>
          <w:b/>
          <w:bCs/>
          <w:i/>
          <w:iCs/>
          <w:sz w:val="28"/>
          <w:szCs w:val="24"/>
        </w:rPr>
        <w:t>Một số hình ảnh</w:t>
      </w:r>
      <w:r w:rsidR="00B46EF1">
        <w:rPr>
          <w:b/>
          <w:bCs/>
          <w:i/>
          <w:iCs/>
          <w:sz w:val="28"/>
          <w:szCs w:val="24"/>
        </w:rPr>
        <w:t xml:space="preserve"> được ghi nhận</w:t>
      </w:r>
      <w:r w:rsidRPr="002C6D3E">
        <w:rPr>
          <w:b/>
          <w:bCs/>
          <w:i/>
          <w:iCs/>
          <w:sz w:val="28"/>
          <w:szCs w:val="24"/>
        </w:rPr>
        <w:t xml:space="preserve"> tại chương trình:</w:t>
      </w:r>
    </w:p>
    <w:p w14:paraId="5E348EE2" w14:textId="77777777" w:rsidR="00A866B0" w:rsidRDefault="002C6D3E" w:rsidP="002C6D3E">
      <w:pPr>
        <w:jc w:val="both"/>
        <w:rPr>
          <w:sz w:val="28"/>
        </w:rPr>
      </w:pPr>
      <w:r>
        <w:rPr>
          <w:noProof/>
        </w:rPr>
        <w:lastRenderedPageBreak/>
        <w:drawing>
          <wp:inline distT="0" distB="0" distL="0" distR="0" wp14:anchorId="1490CEAC" wp14:editId="6577B30A">
            <wp:extent cx="5940000" cy="4057200"/>
            <wp:effectExtent l="0" t="0" r="3810" b="635"/>
            <wp:docPr id="187721909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000" cy="4057200"/>
                    </a:xfrm>
                    <a:prstGeom prst="rect">
                      <a:avLst/>
                    </a:prstGeom>
                    <a:noFill/>
                    <a:ln>
                      <a:noFill/>
                    </a:ln>
                  </pic:spPr>
                </pic:pic>
              </a:graphicData>
            </a:graphic>
          </wp:inline>
        </w:drawing>
      </w:r>
    </w:p>
    <w:p w14:paraId="690E6675" w14:textId="31A691CF" w:rsidR="002C6D3E" w:rsidRPr="002C6D3E" w:rsidRDefault="002C6D3E" w:rsidP="002C6D3E">
      <w:pPr>
        <w:jc w:val="both"/>
        <w:rPr>
          <w:sz w:val="28"/>
        </w:rPr>
      </w:pPr>
      <w:r w:rsidRPr="002C6D3E">
        <w:rPr>
          <w:noProof/>
          <w:sz w:val="28"/>
        </w:rPr>
        <w:drawing>
          <wp:inline distT="0" distB="0" distL="0" distR="0" wp14:anchorId="1AAC8F9E" wp14:editId="5EA838AA">
            <wp:extent cx="5940000" cy="4057200"/>
            <wp:effectExtent l="0" t="0" r="3810" b="635"/>
            <wp:docPr id="35950982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000" cy="4057200"/>
                    </a:xfrm>
                    <a:prstGeom prst="rect">
                      <a:avLst/>
                    </a:prstGeom>
                    <a:noFill/>
                    <a:ln>
                      <a:noFill/>
                    </a:ln>
                  </pic:spPr>
                </pic:pic>
              </a:graphicData>
            </a:graphic>
          </wp:inline>
        </w:drawing>
      </w:r>
    </w:p>
    <w:p w14:paraId="7C4CFE38" w14:textId="6D9DDD2F" w:rsidR="002C6D3E" w:rsidRPr="002C6D3E" w:rsidRDefault="002C6D3E" w:rsidP="002C6D3E">
      <w:pPr>
        <w:jc w:val="both"/>
        <w:rPr>
          <w:sz w:val="28"/>
          <w:szCs w:val="24"/>
        </w:rPr>
      </w:pPr>
      <w:r w:rsidRPr="002C6D3E">
        <w:rPr>
          <w:noProof/>
          <w:sz w:val="28"/>
          <w:szCs w:val="24"/>
        </w:rPr>
        <w:lastRenderedPageBreak/>
        <w:drawing>
          <wp:inline distT="0" distB="0" distL="0" distR="0" wp14:anchorId="6A0FD436" wp14:editId="55679DA8">
            <wp:extent cx="5940000" cy="4057200"/>
            <wp:effectExtent l="0" t="0" r="3810" b="635"/>
            <wp:docPr id="198844899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000" cy="4057200"/>
                    </a:xfrm>
                    <a:prstGeom prst="rect">
                      <a:avLst/>
                    </a:prstGeom>
                    <a:noFill/>
                    <a:ln>
                      <a:noFill/>
                    </a:ln>
                  </pic:spPr>
                </pic:pic>
              </a:graphicData>
            </a:graphic>
          </wp:inline>
        </w:drawing>
      </w:r>
    </w:p>
    <w:p w14:paraId="4AD50679" w14:textId="5920CD07" w:rsidR="002C6D3E" w:rsidRPr="002C6D3E" w:rsidRDefault="002C6D3E" w:rsidP="002C6D3E">
      <w:pPr>
        <w:jc w:val="both"/>
        <w:rPr>
          <w:sz w:val="28"/>
          <w:szCs w:val="24"/>
        </w:rPr>
      </w:pPr>
      <w:r w:rsidRPr="002C6D3E">
        <w:rPr>
          <w:noProof/>
          <w:sz w:val="28"/>
          <w:szCs w:val="24"/>
        </w:rPr>
        <w:drawing>
          <wp:inline distT="0" distB="0" distL="0" distR="0" wp14:anchorId="0B7962EE" wp14:editId="0318102D">
            <wp:extent cx="5940000" cy="4057200"/>
            <wp:effectExtent l="0" t="0" r="3810" b="635"/>
            <wp:docPr id="90859880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000" cy="4057200"/>
                    </a:xfrm>
                    <a:prstGeom prst="rect">
                      <a:avLst/>
                    </a:prstGeom>
                    <a:noFill/>
                    <a:ln>
                      <a:noFill/>
                    </a:ln>
                  </pic:spPr>
                </pic:pic>
              </a:graphicData>
            </a:graphic>
          </wp:inline>
        </w:drawing>
      </w:r>
    </w:p>
    <w:p w14:paraId="6660E762" w14:textId="371DC15B" w:rsidR="002C6D3E" w:rsidRPr="002C6D3E" w:rsidRDefault="002C6D3E" w:rsidP="002C6D3E">
      <w:pPr>
        <w:jc w:val="both"/>
        <w:rPr>
          <w:sz w:val="28"/>
          <w:szCs w:val="24"/>
        </w:rPr>
      </w:pPr>
      <w:r w:rsidRPr="002C6D3E">
        <w:rPr>
          <w:noProof/>
          <w:sz w:val="28"/>
          <w:szCs w:val="24"/>
        </w:rPr>
        <w:lastRenderedPageBreak/>
        <w:drawing>
          <wp:inline distT="0" distB="0" distL="0" distR="0" wp14:anchorId="408FC40C" wp14:editId="4114BC78">
            <wp:extent cx="5940000" cy="4057200"/>
            <wp:effectExtent l="0" t="0" r="3810" b="635"/>
            <wp:docPr id="1355782595"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000" cy="4057200"/>
                    </a:xfrm>
                    <a:prstGeom prst="rect">
                      <a:avLst/>
                    </a:prstGeom>
                    <a:noFill/>
                    <a:ln>
                      <a:noFill/>
                    </a:ln>
                  </pic:spPr>
                </pic:pic>
              </a:graphicData>
            </a:graphic>
          </wp:inline>
        </w:drawing>
      </w:r>
    </w:p>
    <w:p w14:paraId="2E715E5D" w14:textId="43B5DF67" w:rsidR="002C6D3E" w:rsidRPr="002C6D3E" w:rsidRDefault="002C6D3E" w:rsidP="002C6D3E">
      <w:pPr>
        <w:jc w:val="both"/>
        <w:rPr>
          <w:sz w:val="28"/>
          <w:szCs w:val="24"/>
        </w:rPr>
      </w:pPr>
      <w:r w:rsidRPr="002C6D3E">
        <w:rPr>
          <w:noProof/>
          <w:sz w:val="28"/>
          <w:szCs w:val="24"/>
        </w:rPr>
        <w:drawing>
          <wp:inline distT="0" distB="0" distL="0" distR="0" wp14:anchorId="18CA92E0" wp14:editId="72EB4D87">
            <wp:extent cx="5940000" cy="4057200"/>
            <wp:effectExtent l="0" t="0" r="3810" b="635"/>
            <wp:docPr id="56586916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000" cy="4057200"/>
                    </a:xfrm>
                    <a:prstGeom prst="rect">
                      <a:avLst/>
                    </a:prstGeom>
                    <a:noFill/>
                    <a:ln>
                      <a:noFill/>
                    </a:ln>
                  </pic:spPr>
                </pic:pic>
              </a:graphicData>
            </a:graphic>
          </wp:inline>
        </w:drawing>
      </w:r>
    </w:p>
    <w:p w14:paraId="5AD484E7" w14:textId="08DD538A" w:rsidR="002C6D3E" w:rsidRPr="002C6D3E" w:rsidRDefault="002C6D3E" w:rsidP="002C6D3E">
      <w:pPr>
        <w:jc w:val="both"/>
        <w:rPr>
          <w:sz w:val="28"/>
          <w:szCs w:val="24"/>
        </w:rPr>
      </w:pPr>
      <w:r w:rsidRPr="002C6D3E">
        <w:rPr>
          <w:noProof/>
          <w:sz w:val="28"/>
          <w:szCs w:val="24"/>
        </w:rPr>
        <w:lastRenderedPageBreak/>
        <w:drawing>
          <wp:inline distT="0" distB="0" distL="0" distR="0" wp14:anchorId="7BC54AD3" wp14:editId="480A1AC5">
            <wp:extent cx="5940000" cy="4057200"/>
            <wp:effectExtent l="0" t="0" r="3810" b="635"/>
            <wp:docPr id="92153905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000" cy="4057200"/>
                    </a:xfrm>
                    <a:prstGeom prst="rect">
                      <a:avLst/>
                    </a:prstGeom>
                    <a:noFill/>
                    <a:ln>
                      <a:noFill/>
                    </a:ln>
                  </pic:spPr>
                </pic:pic>
              </a:graphicData>
            </a:graphic>
          </wp:inline>
        </w:drawing>
      </w:r>
    </w:p>
    <w:p w14:paraId="66C411F1" w14:textId="006D3A10" w:rsidR="002C6D3E" w:rsidRPr="002C6D3E" w:rsidRDefault="002C6D3E" w:rsidP="002C6D3E">
      <w:pPr>
        <w:jc w:val="both"/>
        <w:rPr>
          <w:sz w:val="28"/>
          <w:szCs w:val="24"/>
        </w:rPr>
      </w:pPr>
      <w:r w:rsidRPr="002C6D3E">
        <w:rPr>
          <w:noProof/>
          <w:sz w:val="28"/>
          <w:szCs w:val="24"/>
        </w:rPr>
        <w:drawing>
          <wp:inline distT="0" distB="0" distL="0" distR="0" wp14:anchorId="4C2FF483" wp14:editId="4A153673">
            <wp:extent cx="5940000" cy="4467600"/>
            <wp:effectExtent l="0" t="0" r="3810" b="9525"/>
            <wp:docPr id="140385193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000" cy="4467600"/>
                    </a:xfrm>
                    <a:prstGeom prst="rect">
                      <a:avLst/>
                    </a:prstGeom>
                    <a:noFill/>
                    <a:ln>
                      <a:noFill/>
                    </a:ln>
                  </pic:spPr>
                </pic:pic>
              </a:graphicData>
            </a:graphic>
          </wp:inline>
        </w:drawing>
      </w:r>
    </w:p>
    <w:p w14:paraId="4B410332" w14:textId="492DB24C" w:rsidR="002C6D3E" w:rsidRPr="002C6D3E" w:rsidRDefault="002C6D3E" w:rsidP="002C6D3E">
      <w:pPr>
        <w:jc w:val="both"/>
        <w:rPr>
          <w:sz w:val="28"/>
          <w:szCs w:val="24"/>
        </w:rPr>
      </w:pPr>
      <w:r w:rsidRPr="002C6D3E">
        <w:rPr>
          <w:noProof/>
          <w:sz w:val="28"/>
          <w:szCs w:val="24"/>
        </w:rPr>
        <w:lastRenderedPageBreak/>
        <w:drawing>
          <wp:inline distT="0" distB="0" distL="0" distR="0" wp14:anchorId="7F5A6E28" wp14:editId="46B1D29B">
            <wp:extent cx="5940000" cy="4057200"/>
            <wp:effectExtent l="0" t="0" r="3810" b="635"/>
            <wp:docPr id="26551514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000" cy="4057200"/>
                    </a:xfrm>
                    <a:prstGeom prst="rect">
                      <a:avLst/>
                    </a:prstGeom>
                    <a:noFill/>
                    <a:ln>
                      <a:noFill/>
                    </a:ln>
                  </pic:spPr>
                </pic:pic>
              </a:graphicData>
            </a:graphic>
          </wp:inline>
        </w:drawing>
      </w:r>
    </w:p>
    <w:p w14:paraId="48DA946E" w14:textId="39C6D6C7" w:rsidR="002C6D3E" w:rsidRPr="002C6D3E" w:rsidRDefault="002C6D3E" w:rsidP="002C6D3E">
      <w:pPr>
        <w:jc w:val="both"/>
        <w:rPr>
          <w:sz w:val="28"/>
          <w:szCs w:val="24"/>
        </w:rPr>
      </w:pPr>
      <w:r w:rsidRPr="002C6D3E">
        <w:rPr>
          <w:noProof/>
          <w:sz w:val="28"/>
          <w:szCs w:val="24"/>
        </w:rPr>
        <w:drawing>
          <wp:inline distT="0" distB="0" distL="0" distR="0" wp14:anchorId="5B00CD8E" wp14:editId="34126761">
            <wp:extent cx="5940000" cy="4057200"/>
            <wp:effectExtent l="0" t="0" r="3810" b="635"/>
            <wp:docPr id="184082779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0000" cy="4057200"/>
                    </a:xfrm>
                    <a:prstGeom prst="rect">
                      <a:avLst/>
                    </a:prstGeom>
                    <a:noFill/>
                    <a:ln>
                      <a:noFill/>
                    </a:ln>
                  </pic:spPr>
                </pic:pic>
              </a:graphicData>
            </a:graphic>
          </wp:inline>
        </w:drawing>
      </w:r>
    </w:p>
    <w:p w14:paraId="06793762" w14:textId="6C098BB0" w:rsidR="002C6D3E" w:rsidRPr="002C6D3E" w:rsidRDefault="002C6D3E" w:rsidP="002C6D3E">
      <w:pPr>
        <w:jc w:val="both"/>
        <w:rPr>
          <w:sz w:val="28"/>
          <w:szCs w:val="24"/>
        </w:rPr>
      </w:pPr>
      <w:r w:rsidRPr="002C6D3E">
        <w:rPr>
          <w:noProof/>
          <w:sz w:val="28"/>
          <w:szCs w:val="24"/>
        </w:rPr>
        <w:lastRenderedPageBreak/>
        <w:drawing>
          <wp:inline distT="0" distB="0" distL="0" distR="0" wp14:anchorId="6B0A5559" wp14:editId="480A5DC8">
            <wp:extent cx="5940000" cy="4057200"/>
            <wp:effectExtent l="0" t="0" r="3810" b="635"/>
            <wp:docPr id="7511741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000" cy="4057200"/>
                    </a:xfrm>
                    <a:prstGeom prst="rect">
                      <a:avLst/>
                    </a:prstGeom>
                    <a:noFill/>
                    <a:ln>
                      <a:noFill/>
                    </a:ln>
                  </pic:spPr>
                </pic:pic>
              </a:graphicData>
            </a:graphic>
          </wp:inline>
        </w:drawing>
      </w:r>
    </w:p>
    <w:p w14:paraId="69542DF2" w14:textId="5736159C" w:rsidR="002C6D3E" w:rsidRPr="002C6D3E" w:rsidRDefault="002C6D3E" w:rsidP="002C6D3E">
      <w:pPr>
        <w:jc w:val="both"/>
        <w:rPr>
          <w:sz w:val="28"/>
          <w:szCs w:val="24"/>
        </w:rPr>
      </w:pPr>
      <w:r w:rsidRPr="002C6D3E">
        <w:rPr>
          <w:noProof/>
          <w:sz w:val="28"/>
          <w:szCs w:val="24"/>
        </w:rPr>
        <w:drawing>
          <wp:inline distT="0" distB="0" distL="0" distR="0" wp14:anchorId="59DF5F34" wp14:editId="50BC95E0">
            <wp:extent cx="5940000" cy="4057200"/>
            <wp:effectExtent l="0" t="0" r="3810" b="635"/>
            <wp:docPr id="1035368349"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000" cy="4057200"/>
                    </a:xfrm>
                    <a:prstGeom prst="rect">
                      <a:avLst/>
                    </a:prstGeom>
                    <a:noFill/>
                    <a:ln>
                      <a:noFill/>
                    </a:ln>
                  </pic:spPr>
                </pic:pic>
              </a:graphicData>
            </a:graphic>
          </wp:inline>
        </w:drawing>
      </w:r>
    </w:p>
    <w:p w14:paraId="1E0BCBF1" w14:textId="6B52C3D6" w:rsidR="002C6D3E" w:rsidRPr="002C6D3E" w:rsidRDefault="002C6D3E" w:rsidP="002C6D3E">
      <w:pPr>
        <w:jc w:val="both"/>
        <w:rPr>
          <w:sz w:val="28"/>
          <w:szCs w:val="24"/>
        </w:rPr>
      </w:pPr>
      <w:r w:rsidRPr="002C6D3E">
        <w:rPr>
          <w:noProof/>
          <w:sz w:val="28"/>
          <w:szCs w:val="24"/>
        </w:rPr>
        <w:lastRenderedPageBreak/>
        <w:drawing>
          <wp:inline distT="0" distB="0" distL="0" distR="0" wp14:anchorId="376AFA29" wp14:editId="6DCE9281">
            <wp:extent cx="5940000" cy="4057200"/>
            <wp:effectExtent l="0" t="0" r="3810" b="635"/>
            <wp:docPr id="696969925"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000" cy="4057200"/>
                    </a:xfrm>
                    <a:prstGeom prst="rect">
                      <a:avLst/>
                    </a:prstGeom>
                    <a:noFill/>
                    <a:ln>
                      <a:noFill/>
                    </a:ln>
                  </pic:spPr>
                </pic:pic>
              </a:graphicData>
            </a:graphic>
          </wp:inline>
        </w:drawing>
      </w:r>
    </w:p>
    <w:p w14:paraId="138A6C2F" w14:textId="3E65829C" w:rsidR="002C6D3E" w:rsidRPr="002C6D3E" w:rsidRDefault="002C6D3E" w:rsidP="002C6D3E">
      <w:pPr>
        <w:jc w:val="both"/>
        <w:rPr>
          <w:sz w:val="28"/>
          <w:szCs w:val="24"/>
        </w:rPr>
      </w:pPr>
      <w:r w:rsidRPr="002C6D3E">
        <w:rPr>
          <w:noProof/>
          <w:sz w:val="28"/>
          <w:szCs w:val="24"/>
        </w:rPr>
        <w:drawing>
          <wp:inline distT="0" distB="0" distL="0" distR="0" wp14:anchorId="2C99637D" wp14:editId="28D760CA">
            <wp:extent cx="5940000" cy="4057200"/>
            <wp:effectExtent l="0" t="0" r="3810" b="635"/>
            <wp:docPr id="823247329"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000" cy="4057200"/>
                    </a:xfrm>
                    <a:prstGeom prst="rect">
                      <a:avLst/>
                    </a:prstGeom>
                    <a:noFill/>
                    <a:ln>
                      <a:noFill/>
                    </a:ln>
                  </pic:spPr>
                </pic:pic>
              </a:graphicData>
            </a:graphic>
          </wp:inline>
        </w:drawing>
      </w:r>
    </w:p>
    <w:p w14:paraId="32BAE321" w14:textId="4E3E65F7" w:rsidR="002C6D3E" w:rsidRPr="002C6D3E" w:rsidRDefault="002C6D3E" w:rsidP="002C6D3E">
      <w:pPr>
        <w:jc w:val="both"/>
        <w:rPr>
          <w:sz w:val="28"/>
          <w:szCs w:val="24"/>
        </w:rPr>
      </w:pPr>
      <w:r w:rsidRPr="002C6D3E">
        <w:rPr>
          <w:noProof/>
          <w:sz w:val="28"/>
          <w:szCs w:val="24"/>
        </w:rPr>
        <w:lastRenderedPageBreak/>
        <w:drawing>
          <wp:inline distT="0" distB="0" distL="0" distR="0" wp14:anchorId="2D445D45" wp14:editId="69A8FE05">
            <wp:extent cx="5940000" cy="4057200"/>
            <wp:effectExtent l="0" t="0" r="3810" b="635"/>
            <wp:docPr id="1239905682"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000" cy="4057200"/>
                    </a:xfrm>
                    <a:prstGeom prst="rect">
                      <a:avLst/>
                    </a:prstGeom>
                    <a:noFill/>
                    <a:ln>
                      <a:noFill/>
                    </a:ln>
                  </pic:spPr>
                </pic:pic>
              </a:graphicData>
            </a:graphic>
          </wp:inline>
        </w:drawing>
      </w:r>
    </w:p>
    <w:p w14:paraId="0E8FE209" w14:textId="4AACD65C" w:rsidR="002C6D3E" w:rsidRPr="002C6D3E" w:rsidRDefault="002C6D3E" w:rsidP="002C6D3E">
      <w:pPr>
        <w:jc w:val="both"/>
        <w:rPr>
          <w:sz w:val="28"/>
          <w:szCs w:val="24"/>
        </w:rPr>
      </w:pPr>
      <w:r w:rsidRPr="002C6D3E">
        <w:rPr>
          <w:noProof/>
          <w:sz w:val="28"/>
          <w:szCs w:val="24"/>
        </w:rPr>
        <w:drawing>
          <wp:inline distT="0" distB="0" distL="0" distR="0" wp14:anchorId="5C49996D" wp14:editId="13260173">
            <wp:extent cx="5940000" cy="4057200"/>
            <wp:effectExtent l="0" t="0" r="3810" b="635"/>
            <wp:docPr id="1452139930"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000" cy="4057200"/>
                    </a:xfrm>
                    <a:prstGeom prst="rect">
                      <a:avLst/>
                    </a:prstGeom>
                    <a:noFill/>
                    <a:ln>
                      <a:noFill/>
                    </a:ln>
                  </pic:spPr>
                </pic:pic>
              </a:graphicData>
            </a:graphic>
          </wp:inline>
        </w:drawing>
      </w:r>
    </w:p>
    <w:p w14:paraId="2693FA71" w14:textId="687D80FA" w:rsidR="002C6D3E" w:rsidRPr="00F25600" w:rsidRDefault="002C6D3E" w:rsidP="00F25600">
      <w:pPr>
        <w:jc w:val="both"/>
        <w:rPr>
          <w:sz w:val="28"/>
          <w:szCs w:val="24"/>
        </w:rPr>
      </w:pPr>
    </w:p>
    <w:sectPr w:rsidR="002C6D3E" w:rsidRPr="00F25600" w:rsidSect="0037436F">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C148D"/>
    <w:multiLevelType w:val="multilevel"/>
    <w:tmpl w:val="36329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1372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600"/>
    <w:rsid w:val="00067EBC"/>
    <w:rsid w:val="00157A5A"/>
    <w:rsid w:val="0021237E"/>
    <w:rsid w:val="00270FE6"/>
    <w:rsid w:val="00275E92"/>
    <w:rsid w:val="002C6D3E"/>
    <w:rsid w:val="003040FD"/>
    <w:rsid w:val="0037436F"/>
    <w:rsid w:val="004520FD"/>
    <w:rsid w:val="00477D56"/>
    <w:rsid w:val="006373C6"/>
    <w:rsid w:val="006C4ACC"/>
    <w:rsid w:val="00794613"/>
    <w:rsid w:val="00834388"/>
    <w:rsid w:val="008F01AE"/>
    <w:rsid w:val="009173F2"/>
    <w:rsid w:val="009434EF"/>
    <w:rsid w:val="009A547B"/>
    <w:rsid w:val="00A866B0"/>
    <w:rsid w:val="00B46EF1"/>
    <w:rsid w:val="00C5023A"/>
    <w:rsid w:val="00C550A7"/>
    <w:rsid w:val="00DD48D9"/>
    <w:rsid w:val="00E3736E"/>
    <w:rsid w:val="00F25600"/>
    <w:rsid w:val="00FC0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BD6D3"/>
  <w15:chartTrackingRefBased/>
  <w15:docId w15:val="{489CE21B-E49F-4A56-9A60-3ACECA57D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560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2560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25600"/>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25600"/>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25600"/>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2560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2560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2560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2560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60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2560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25600"/>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25600"/>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25600"/>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2560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2560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2560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2560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256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560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560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560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25600"/>
    <w:pPr>
      <w:spacing w:before="160"/>
      <w:jc w:val="center"/>
    </w:pPr>
    <w:rPr>
      <w:i/>
      <w:iCs/>
      <w:color w:val="404040" w:themeColor="text1" w:themeTint="BF"/>
    </w:rPr>
  </w:style>
  <w:style w:type="character" w:customStyle="1" w:styleId="QuoteChar">
    <w:name w:val="Quote Char"/>
    <w:basedOn w:val="DefaultParagraphFont"/>
    <w:link w:val="Quote"/>
    <w:uiPriority w:val="29"/>
    <w:rsid w:val="00F25600"/>
    <w:rPr>
      <w:i/>
      <w:iCs/>
      <w:color w:val="404040" w:themeColor="text1" w:themeTint="BF"/>
    </w:rPr>
  </w:style>
  <w:style w:type="paragraph" w:styleId="ListParagraph">
    <w:name w:val="List Paragraph"/>
    <w:basedOn w:val="Normal"/>
    <w:uiPriority w:val="34"/>
    <w:qFormat/>
    <w:rsid w:val="00F25600"/>
    <w:pPr>
      <w:ind w:left="720"/>
      <w:contextualSpacing/>
    </w:pPr>
  </w:style>
  <w:style w:type="character" w:styleId="IntenseEmphasis">
    <w:name w:val="Intense Emphasis"/>
    <w:basedOn w:val="DefaultParagraphFont"/>
    <w:uiPriority w:val="21"/>
    <w:qFormat/>
    <w:rsid w:val="00F25600"/>
    <w:rPr>
      <w:i/>
      <w:iCs/>
      <w:color w:val="2F5496" w:themeColor="accent1" w:themeShade="BF"/>
    </w:rPr>
  </w:style>
  <w:style w:type="paragraph" w:styleId="IntenseQuote">
    <w:name w:val="Intense Quote"/>
    <w:basedOn w:val="Normal"/>
    <w:next w:val="Normal"/>
    <w:link w:val="IntenseQuoteChar"/>
    <w:uiPriority w:val="30"/>
    <w:qFormat/>
    <w:rsid w:val="00F2560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25600"/>
    <w:rPr>
      <w:i/>
      <w:iCs/>
      <w:color w:val="2F5496" w:themeColor="accent1" w:themeShade="BF"/>
    </w:rPr>
  </w:style>
  <w:style w:type="character" w:styleId="IntenseReference">
    <w:name w:val="Intense Reference"/>
    <w:basedOn w:val="DefaultParagraphFont"/>
    <w:uiPriority w:val="32"/>
    <w:qFormat/>
    <w:rsid w:val="00F25600"/>
    <w:rPr>
      <w:b/>
      <w:bCs/>
      <w:smallCaps/>
      <w:color w:val="2F5496" w:themeColor="accent1" w:themeShade="BF"/>
      <w:spacing w:val="5"/>
    </w:rPr>
  </w:style>
  <w:style w:type="paragraph" w:styleId="NormalWeb">
    <w:name w:val="Normal (Web)"/>
    <w:basedOn w:val="Normal"/>
    <w:uiPriority w:val="99"/>
    <w:semiHidden/>
    <w:unhideWhenUsed/>
    <w:rsid w:val="002C6D3E"/>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10</Pages>
  <Words>280</Words>
  <Characters>1597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thảo phương</dc:creator>
  <cp:keywords/>
  <dc:description/>
  <cp:lastModifiedBy>thảo phương</cp:lastModifiedBy>
  <cp:revision>10</cp:revision>
  <dcterms:created xsi:type="dcterms:W3CDTF">2026-04-13T03:13:00Z</dcterms:created>
  <dcterms:modified xsi:type="dcterms:W3CDTF">2026-04-14T02:16:00Z</dcterms:modified>
</cp:coreProperties>
</file>